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617DF">
      <w:pPr>
        <w:spacing w:line="360" w:lineRule="auto"/>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玉林分行县域网点钞币押运及尾箱寄库保管服务采购需求</w:t>
      </w:r>
    </w:p>
    <w:p w14:paraId="0090D629">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1E0A869E">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5E2A94E0">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项目名称：玉林分行县域网点钞币押运及尾箱寄库保管服务项目</w:t>
      </w:r>
    </w:p>
    <w:p w14:paraId="13FC4BD8">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15BEF9DD">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694A59BC">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7A518C32">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69660AFB">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170393CD">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13C0BAF6">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lang w:val="en-US" w:eastAsia="zh-CN"/>
        </w:rPr>
        <w:t>县域内的</w:t>
      </w:r>
      <w:r>
        <w:rPr>
          <w:rFonts w:hint="eastAsia" w:ascii="彩虹粗仿宋" w:eastAsia="彩虹粗仿宋" w:cs="宋体"/>
          <w:color w:val="auto"/>
          <w:sz w:val="32"/>
          <w:szCs w:val="32"/>
          <w:highlight w:val="none"/>
        </w:rPr>
        <w:t>日常现金、重空、贵金属调拨</w:t>
      </w:r>
      <w:r>
        <w:rPr>
          <w:rFonts w:hint="eastAsia" w:ascii="彩虹粗仿宋" w:eastAsia="彩虹粗仿宋" w:cs="宋体"/>
          <w:color w:val="auto"/>
          <w:sz w:val="32"/>
          <w:szCs w:val="32"/>
          <w:highlight w:val="none"/>
          <w:lang w:val="en-US" w:eastAsia="zh-CN"/>
        </w:rPr>
        <w:t>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0A4BE2B0">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r>
        <w:rPr>
          <w:rFonts w:hint="eastAsia" w:ascii="彩虹粗仿宋" w:eastAsia="彩虹粗仿宋" w:cs="宋体"/>
          <w:color w:val="auto"/>
          <w:sz w:val="32"/>
          <w:szCs w:val="32"/>
          <w:highlight w:val="none"/>
          <w:lang w:val="en-US" w:eastAsia="zh-CN"/>
        </w:rPr>
        <w:t>（县城以外的押运业务，主要是县支行到管辖市分行金库范围内）</w:t>
      </w:r>
      <w:r>
        <w:rPr>
          <w:rFonts w:hint="eastAsia" w:ascii="彩虹粗仿宋" w:eastAsia="彩虹粗仿宋" w:cs="宋体"/>
          <w:color w:val="auto"/>
          <w:sz w:val="32"/>
          <w:szCs w:val="32"/>
          <w:highlight w:val="none"/>
        </w:rPr>
        <w:t>。</w:t>
      </w:r>
    </w:p>
    <w:p w14:paraId="2670D42F">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7442A28E">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241D0E65">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7C680CFB">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1EA0EB75">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6DE5AADF">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085F27A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6B3B4A6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23510F1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40123A9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6A9C5ECA">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1CEE4DF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7B88D871">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369E3AE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74D1CC03">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1E0D7DFE">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3C28A8D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0941A724">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7F0E6E2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4EC45041">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327163B4">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3C7A1C63">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0D381FAE">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3A206815">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6977F7EE">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55069AA9">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03D8E860">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200A28BD">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2C79E011">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350E6DDC">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67CD3A01">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0E7D48E4">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163C0CD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3D0053A0">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4B2B6B0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43678ED4">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43AE09A4">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846"/>
        <w:gridCol w:w="992"/>
        <w:gridCol w:w="993"/>
        <w:gridCol w:w="993"/>
        <w:gridCol w:w="1021"/>
      </w:tblGrid>
      <w:tr w14:paraId="0529D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18AB">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DDE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0CE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298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97C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44C6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171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D572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421C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BC8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FFBD">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A10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E8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E6B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C24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B5FA">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4196">
            <w:pPr>
              <w:jc w:val="center"/>
              <w:rPr>
                <w:rFonts w:hint="eastAsia" w:ascii="彩虹粗仿宋" w:hAnsi="彩虹粗仿宋" w:eastAsia="彩虹粗仿宋" w:cs="彩虹粗仿宋"/>
                <w:i w:val="0"/>
                <w:iCs w:val="0"/>
                <w:color w:val="auto"/>
                <w:sz w:val="24"/>
                <w:szCs w:val="24"/>
                <w:highlight w:val="none"/>
                <w:u w:val="none"/>
              </w:rPr>
            </w:pPr>
          </w:p>
        </w:tc>
      </w:tr>
      <w:tr w14:paraId="6A20C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9AD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941F">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0CFB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6FC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D487">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E1A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E5E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FFE8">
            <w:pPr>
              <w:jc w:val="center"/>
              <w:rPr>
                <w:rFonts w:hint="eastAsia" w:ascii="彩虹粗仿宋" w:hAnsi="彩虹粗仿宋" w:eastAsia="彩虹粗仿宋" w:cs="彩虹粗仿宋"/>
                <w:i w:val="0"/>
                <w:iCs w:val="0"/>
                <w:color w:val="auto"/>
                <w:sz w:val="24"/>
                <w:szCs w:val="24"/>
                <w:highlight w:val="none"/>
                <w:u w:val="none"/>
              </w:rPr>
            </w:pPr>
          </w:p>
        </w:tc>
      </w:tr>
      <w:tr w14:paraId="0B13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C2D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6CE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玉林分行县支行临时押运（距离金库单程超出20公里部分按长途押运往返路程另行计费）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98B9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66B6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2400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1CA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E6C7">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2D64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513F">
            <w:pPr>
              <w:jc w:val="center"/>
              <w:rPr>
                <w:rFonts w:hint="eastAsia" w:ascii="彩虹粗仿宋" w:hAnsi="彩虹粗仿宋" w:eastAsia="彩虹粗仿宋" w:cs="彩虹粗仿宋"/>
                <w:i w:val="0"/>
                <w:iCs w:val="0"/>
                <w:color w:val="auto"/>
                <w:sz w:val="24"/>
                <w:szCs w:val="24"/>
                <w:highlight w:val="none"/>
                <w:u w:val="none"/>
              </w:rPr>
            </w:pPr>
          </w:p>
        </w:tc>
      </w:tr>
      <w:tr w14:paraId="2A546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28CA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B3A2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7D4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A19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EE2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449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40E93">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486C">
            <w:pPr>
              <w:jc w:val="center"/>
              <w:rPr>
                <w:rFonts w:hint="eastAsia" w:ascii="彩虹粗仿宋" w:hAnsi="彩虹粗仿宋" w:eastAsia="彩虹粗仿宋" w:cs="彩虹粗仿宋"/>
                <w:i w:val="0"/>
                <w:iCs w:val="0"/>
                <w:color w:val="auto"/>
                <w:sz w:val="24"/>
                <w:szCs w:val="24"/>
                <w:highlight w:val="none"/>
                <w:u w:val="none"/>
              </w:rPr>
            </w:pPr>
          </w:p>
        </w:tc>
      </w:tr>
      <w:tr w14:paraId="6EEE6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BAD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3098">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CE7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67F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2160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9E4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789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6735">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D464">
            <w:pPr>
              <w:jc w:val="center"/>
              <w:rPr>
                <w:rFonts w:hint="eastAsia" w:ascii="彩虹粗仿宋" w:hAnsi="彩虹粗仿宋" w:eastAsia="彩虹粗仿宋" w:cs="彩虹粗仿宋"/>
                <w:i w:val="0"/>
                <w:iCs w:val="0"/>
                <w:color w:val="auto"/>
                <w:sz w:val="24"/>
                <w:szCs w:val="24"/>
                <w:highlight w:val="none"/>
                <w:u w:val="none"/>
              </w:rPr>
            </w:pPr>
          </w:p>
        </w:tc>
      </w:tr>
      <w:tr w14:paraId="48FA9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2EB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1340">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玉林分行县支行长途押运（含二次调拨押运）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59C6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A76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345600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65BE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131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87DF">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9D72C">
            <w:pPr>
              <w:jc w:val="center"/>
              <w:rPr>
                <w:rFonts w:hint="eastAsia" w:ascii="彩虹粗仿宋" w:hAnsi="彩虹粗仿宋" w:eastAsia="彩虹粗仿宋" w:cs="彩虹粗仿宋"/>
                <w:i w:val="0"/>
                <w:iCs w:val="0"/>
                <w:color w:val="auto"/>
                <w:sz w:val="24"/>
                <w:szCs w:val="24"/>
                <w:highlight w:val="none"/>
                <w:u w:val="none"/>
              </w:rPr>
            </w:pPr>
          </w:p>
        </w:tc>
      </w:tr>
      <w:tr w14:paraId="77FBF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D1E25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193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9983">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9227">
            <w:pPr>
              <w:rPr>
                <w:rFonts w:hint="eastAsia" w:ascii="宋体" w:hAnsi="宋体" w:eastAsia="宋体" w:cs="宋体"/>
                <w:i w:val="0"/>
                <w:iCs w:val="0"/>
                <w:color w:val="auto"/>
                <w:sz w:val="22"/>
                <w:szCs w:val="22"/>
                <w:highlight w:val="none"/>
                <w:u w:val="none"/>
              </w:rPr>
            </w:pPr>
          </w:p>
        </w:tc>
      </w:tr>
    </w:tbl>
    <w:p w14:paraId="34EE14DC">
      <w:pPr>
        <w:spacing w:line="360" w:lineRule="auto"/>
        <w:ind w:firstLine="640" w:firstLineChars="200"/>
        <w:textAlignment w:val="baseline"/>
        <w:rPr>
          <w:rFonts w:hint="eastAsia" w:ascii="彩虹粗仿宋" w:hAnsi="宋体" w:eastAsia="彩虹粗仿宋"/>
          <w:color w:val="auto"/>
          <w:sz w:val="32"/>
          <w:szCs w:val="32"/>
          <w:highlight w:val="none"/>
        </w:rPr>
      </w:pPr>
      <w:r>
        <w:rPr>
          <w:rFonts w:hint="eastAsia" w:ascii="彩虹粗仿宋" w:eastAsia="彩虹粗仿宋" w:cs="宋体"/>
          <w:color w:val="auto"/>
          <w:sz w:val="32"/>
          <w:szCs w:val="32"/>
          <w:highlight w:val="none"/>
        </w:rPr>
        <w:t>特别说明：1.</w:t>
      </w:r>
      <w:r>
        <w:rPr>
          <w:rFonts w:hint="eastAsia" w:ascii="彩虹粗仿宋" w:hAnsi="宋体" w:eastAsia="彩虹粗仿宋"/>
          <w:color w:val="auto"/>
          <w:sz w:val="32"/>
          <w:szCs w:val="32"/>
          <w:highlight w:val="none"/>
        </w:rPr>
        <w:t>长途押运过程中，同</w:t>
      </w:r>
      <w:r>
        <w:rPr>
          <w:rFonts w:ascii="彩虹粗仿宋" w:hAnsi="宋体" w:eastAsia="彩虹粗仿宋"/>
          <w:color w:val="auto"/>
          <w:sz w:val="32"/>
          <w:szCs w:val="32"/>
          <w:highlight w:val="none"/>
        </w:rPr>
        <w:t>一车次，前往</w:t>
      </w:r>
      <w:r>
        <w:rPr>
          <w:rFonts w:hint="eastAsia" w:ascii="彩虹粗仿宋" w:hAnsi="宋体" w:eastAsia="彩虹粗仿宋"/>
          <w:color w:val="auto"/>
          <w:sz w:val="32"/>
          <w:szCs w:val="32"/>
          <w:highlight w:val="none"/>
        </w:rPr>
        <w:t>2个</w:t>
      </w:r>
      <w:r>
        <w:rPr>
          <w:rFonts w:ascii="彩虹粗仿宋" w:hAnsi="宋体" w:eastAsia="彩虹粗仿宋"/>
          <w:color w:val="auto"/>
          <w:sz w:val="32"/>
          <w:szCs w:val="32"/>
          <w:highlight w:val="none"/>
        </w:rPr>
        <w:t>以上不同</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县域，按</w:t>
      </w:r>
      <w:r>
        <w:rPr>
          <w:rFonts w:hint="eastAsia" w:ascii="彩虹粗仿宋" w:hAnsi="宋体" w:eastAsia="彩虹粗仿宋"/>
          <w:color w:val="auto"/>
          <w:sz w:val="32"/>
          <w:szCs w:val="32"/>
          <w:highlight w:val="none"/>
        </w:rPr>
        <w:t>实际</w:t>
      </w:r>
      <w:r>
        <w:rPr>
          <w:rFonts w:ascii="彩虹粗仿宋" w:hAnsi="宋体" w:eastAsia="彩虹粗仿宋"/>
          <w:color w:val="auto"/>
          <w:sz w:val="32"/>
          <w:szCs w:val="32"/>
          <w:highlight w:val="none"/>
        </w:rPr>
        <w:t>行程</w:t>
      </w:r>
      <w:r>
        <w:rPr>
          <w:rFonts w:hint="eastAsia" w:ascii="彩虹粗仿宋" w:hAnsi="宋体" w:eastAsia="彩虹粗仿宋"/>
          <w:color w:val="auto"/>
          <w:sz w:val="32"/>
          <w:szCs w:val="32"/>
          <w:highlight w:val="none"/>
        </w:rPr>
        <w:t>公里数计费</w:t>
      </w:r>
      <w:r>
        <w:rPr>
          <w:rFonts w:ascii="彩虹粗仿宋" w:hAnsi="宋体" w:eastAsia="彩虹粗仿宋"/>
          <w:color w:val="auto"/>
          <w:sz w:val="32"/>
          <w:szCs w:val="32"/>
          <w:highlight w:val="none"/>
        </w:rPr>
        <w:t>。</w:t>
      </w:r>
      <w:r>
        <w:rPr>
          <w:rFonts w:hint="eastAsia" w:ascii="彩虹粗仿宋" w:hAnsi="宋体" w:eastAsia="彩虹粗仿宋"/>
          <w:color w:val="auto"/>
          <w:sz w:val="32"/>
          <w:szCs w:val="32"/>
          <w:highlight w:val="none"/>
          <w:lang w:val="en-US" w:eastAsia="zh-CN"/>
        </w:rPr>
        <w:t>2</w:t>
      </w:r>
      <w:r>
        <w:rPr>
          <w:rFonts w:hint="eastAsia" w:ascii="彩虹粗仿宋" w:hAnsi="宋体" w:eastAsia="彩虹粗仿宋"/>
          <w:color w:val="auto"/>
          <w:sz w:val="32"/>
          <w:szCs w:val="32"/>
          <w:highlight w:val="none"/>
        </w:rPr>
        <w:t>.二次</w:t>
      </w:r>
      <w:r>
        <w:rPr>
          <w:rFonts w:ascii="彩虹粗仿宋" w:hAnsi="宋体" w:eastAsia="彩虹粗仿宋"/>
          <w:color w:val="auto"/>
          <w:sz w:val="32"/>
          <w:szCs w:val="32"/>
          <w:highlight w:val="none"/>
        </w:rPr>
        <w:t>调拨</w:t>
      </w:r>
      <w:r>
        <w:rPr>
          <w:rFonts w:hint="eastAsia" w:ascii="彩虹粗仿宋" w:hAnsi="宋体" w:eastAsia="彩虹粗仿宋"/>
          <w:color w:val="auto"/>
          <w:sz w:val="32"/>
          <w:szCs w:val="32"/>
          <w:highlight w:val="none"/>
        </w:rPr>
        <w:t>到一</w:t>
      </w:r>
      <w:r>
        <w:rPr>
          <w:rFonts w:ascii="彩虹粗仿宋" w:hAnsi="宋体" w:eastAsia="彩虹粗仿宋"/>
          <w:color w:val="auto"/>
          <w:sz w:val="32"/>
          <w:szCs w:val="32"/>
          <w:highlight w:val="none"/>
        </w:rPr>
        <w:t>个县支行</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个网点</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w:t>
      </w:r>
      <w:r>
        <w:rPr>
          <w:rFonts w:hint="eastAsia" w:ascii="彩虹粗仿宋" w:hAnsi="宋体" w:eastAsia="彩虹粗仿宋"/>
          <w:color w:val="auto"/>
          <w:sz w:val="32"/>
          <w:szCs w:val="32"/>
          <w:highlight w:val="none"/>
        </w:rPr>
        <w:t>只能</w:t>
      </w:r>
      <w:r>
        <w:rPr>
          <w:rFonts w:ascii="彩虹粗仿宋" w:hAnsi="宋体" w:eastAsia="彩虹粗仿宋"/>
          <w:color w:val="auto"/>
          <w:sz w:val="32"/>
          <w:szCs w:val="32"/>
          <w:highlight w:val="none"/>
        </w:rPr>
        <w:t>按</w:t>
      </w:r>
      <w:r>
        <w:rPr>
          <w:rFonts w:hint="eastAsia" w:ascii="彩虹粗仿宋" w:hAnsi="宋体" w:eastAsia="彩虹粗仿宋"/>
          <w:color w:val="auto"/>
          <w:sz w:val="32"/>
          <w:szCs w:val="32"/>
          <w:highlight w:val="none"/>
        </w:rPr>
        <w:t>1个</w:t>
      </w:r>
      <w:r>
        <w:rPr>
          <w:rFonts w:ascii="彩虹粗仿宋" w:hAnsi="宋体" w:eastAsia="彩虹粗仿宋"/>
          <w:color w:val="auto"/>
          <w:sz w:val="32"/>
          <w:szCs w:val="32"/>
          <w:highlight w:val="none"/>
        </w:rPr>
        <w:t>支行</w:t>
      </w:r>
      <w:r>
        <w:rPr>
          <w:rFonts w:hint="eastAsia" w:ascii="彩虹粗仿宋" w:hAnsi="宋体" w:eastAsia="彩虹粗仿宋"/>
          <w:color w:val="auto"/>
          <w:sz w:val="32"/>
          <w:szCs w:val="32"/>
          <w:highlight w:val="none"/>
        </w:rPr>
        <w:t>计算1</w:t>
      </w:r>
      <w:r>
        <w:rPr>
          <w:rFonts w:ascii="彩虹粗仿宋" w:hAnsi="宋体" w:eastAsia="彩虹粗仿宋"/>
          <w:color w:val="auto"/>
          <w:sz w:val="32"/>
          <w:szCs w:val="32"/>
          <w:highlight w:val="none"/>
        </w:rPr>
        <w:t>次，不得按</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网点计算</w:t>
      </w:r>
      <w:r>
        <w:rPr>
          <w:rFonts w:hint="eastAsia" w:ascii="彩虹粗仿宋" w:hAnsi="宋体" w:eastAsia="彩虹粗仿宋"/>
          <w:color w:val="auto"/>
          <w:sz w:val="32"/>
          <w:szCs w:val="32"/>
          <w:highlight w:val="none"/>
        </w:rPr>
        <w:t>。</w:t>
      </w:r>
    </w:p>
    <w:p w14:paraId="61F90E59">
      <w:pPr>
        <w:spacing w:line="360" w:lineRule="auto"/>
        <w:ind w:firstLine="640" w:firstLineChars="200"/>
        <w:textAlignment w:val="baseline"/>
        <w:rPr>
          <w:rFonts w:hint="eastAsia" w:ascii="彩虹粗仿宋" w:hAnsi="宋体" w:eastAsia="彩虹粗仿宋"/>
          <w:color w:val="auto"/>
          <w:sz w:val="32"/>
          <w:szCs w:val="32"/>
          <w:highlight w:val="none"/>
        </w:rPr>
      </w:pPr>
    </w:p>
    <w:p w14:paraId="1ADC9360">
      <w:pPr>
        <w:spacing w:line="360" w:lineRule="auto"/>
        <w:ind w:firstLine="640" w:firstLineChars="200"/>
        <w:textAlignment w:val="baseline"/>
        <w:rPr>
          <w:rFonts w:hint="eastAsia"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附表：玉林分行县支行网点营业地址</w:t>
      </w:r>
    </w:p>
    <w:tbl>
      <w:tblPr>
        <w:tblStyle w:val="2"/>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2445"/>
        <w:gridCol w:w="5280"/>
      </w:tblGrid>
      <w:tr w14:paraId="141BA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EC3C">
            <w:pPr>
              <w:keepNext w:val="0"/>
              <w:keepLines w:val="0"/>
              <w:widowControl/>
              <w:suppressLineNumbers w:val="0"/>
              <w:jc w:val="left"/>
              <w:textAlignment w:val="center"/>
              <w:rPr>
                <w:rFonts w:ascii="彩虹黑体" w:hAnsi="彩虹黑体" w:eastAsia="彩虹黑体" w:cs="彩虹黑体"/>
                <w:i w:val="0"/>
                <w:iCs w:val="0"/>
                <w:color w:val="auto"/>
                <w:sz w:val="24"/>
                <w:szCs w:val="24"/>
                <w:highlight w:val="none"/>
                <w:u w:val="none"/>
              </w:rPr>
            </w:pPr>
            <w:r>
              <w:rPr>
                <w:rFonts w:hint="eastAsia" w:ascii="彩虹黑体" w:hAnsi="彩虹黑体" w:eastAsia="彩虹黑体" w:cs="彩虹黑体"/>
                <w:i w:val="0"/>
                <w:iCs w:val="0"/>
                <w:color w:val="auto"/>
                <w:kern w:val="0"/>
                <w:sz w:val="24"/>
                <w:szCs w:val="24"/>
                <w:highlight w:val="none"/>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043F5">
            <w:pPr>
              <w:keepNext w:val="0"/>
              <w:keepLines w:val="0"/>
              <w:widowControl/>
              <w:suppressLineNumbers w:val="0"/>
              <w:jc w:val="center"/>
              <w:textAlignment w:val="center"/>
              <w:rPr>
                <w:rFonts w:hint="eastAsia" w:ascii="彩虹黑体" w:hAnsi="彩虹黑体" w:eastAsia="彩虹黑体" w:cs="彩虹黑体"/>
                <w:i w:val="0"/>
                <w:iCs w:val="0"/>
                <w:color w:val="auto"/>
                <w:sz w:val="24"/>
                <w:szCs w:val="24"/>
                <w:highlight w:val="none"/>
                <w:u w:val="none"/>
              </w:rPr>
            </w:pPr>
            <w:r>
              <w:rPr>
                <w:rFonts w:hint="eastAsia" w:ascii="彩虹黑体" w:hAnsi="彩虹黑体" w:eastAsia="彩虹黑体" w:cs="彩虹黑体"/>
                <w:i w:val="0"/>
                <w:iCs w:val="0"/>
                <w:color w:val="auto"/>
                <w:kern w:val="0"/>
                <w:sz w:val="24"/>
                <w:szCs w:val="24"/>
                <w:highlight w:val="none"/>
                <w:u w:val="none"/>
                <w:lang w:val="en-US" w:eastAsia="zh-CN" w:bidi="ar"/>
              </w:rPr>
              <w:t>机构名称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EB8B">
            <w:pPr>
              <w:keepNext w:val="0"/>
              <w:keepLines w:val="0"/>
              <w:widowControl/>
              <w:suppressLineNumbers w:val="0"/>
              <w:jc w:val="center"/>
              <w:textAlignment w:val="center"/>
              <w:rPr>
                <w:rFonts w:hint="eastAsia" w:ascii="彩虹黑体" w:hAnsi="彩虹黑体" w:eastAsia="彩虹黑体" w:cs="彩虹黑体"/>
                <w:i w:val="0"/>
                <w:iCs w:val="0"/>
                <w:color w:val="auto"/>
                <w:sz w:val="24"/>
                <w:szCs w:val="24"/>
                <w:highlight w:val="none"/>
                <w:u w:val="none"/>
              </w:rPr>
            </w:pPr>
            <w:r>
              <w:rPr>
                <w:rFonts w:hint="eastAsia" w:ascii="彩虹黑体" w:hAnsi="彩虹黑体" w:eastAsia="彩虹黑体" w:cs="彩虹黑体"/>
                <w:i w:val="0"/>
                <w:iCs w:val="0"/>
                <w:color w:val="auto"/>
                <w:kern w:val="0"/>
                <w:sz w:val="24"/>
                <w:szCs w:val="24"/>
                <w:highlight w:val="none"/>
                <w:u w:val="none"/>
                <w:lang w:val="en-US" w:eastAsia="zh-CN" w:bidi="ar"/>
              </w:rPr>
              <w:t>地址</w:t>
            </w:r>
          </w:p>
        </w:tc>
      </w:tr>
      <w:tr w14:paraId="14A78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0DE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62B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容县支行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5FA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广西壮族自治区容县容州镇新北街260号</w:t>
            </w:r>
          </w:p>
        </w:tc>
      </w:tr>
      <w:tr w14:paraId="1E5D2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91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E52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容县登高支行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085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容县容州镇车站西路富盛广场6幢109-2号商铺</w:t>
            </w:r>
          </w:p>
        </w:tc>
      </w:tr>
      <w:tr w14:paraId="404ED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3E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D83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北流一环西路支行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0BB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北流市一环西路0201-1号</w:t>
            </w:r>
          </w:p>
        </w:tc>
      </w:tr>
      <w:tr w14:paraId="1C19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77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05C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8F3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北流市新松路0017号</w:t>
            </w:r>
          </w:p>
        </w:tc>
      </w:tr>
      <w:tr w14:paraId="41EE4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64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1B8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北流南园支行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443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北流市北流镇南园一路南园新苑1幢6单元10至12号商铺</w:t>
            </w:r>
          </w:p>
        </w:tc>
      </w:tr>
      <w:tr w14:paraId="742FE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7B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2433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陆川支行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0D8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广西壮族自治区陆川县温泉镇新洲中路95号</w:t>
            </w:r>
          </w:p>
        </w:tc>
      </w:tr>
      <w:tr w14:paraId="142E9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4FA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95B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陆川九洲市场支行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11095">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广西壮族自治区陆川县温泉镇三峰中路5号</w:t>
            </w:r>
          </w:p>
        </w:tc>
      </w:tr>
      <w:tr w14:paraId="1F3BE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D8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6B9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博白支行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FD8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博白县博白镇锦绣西路001号</w:t>
            </w:r>
          </w:p>
        </w:tc>
      </w:tr>
      <w:tr w14:paraId="1AB87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4A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FF7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博白南州路支行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1C4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博白县博白镇南州北路57号荣华苑一层临街铺面</w:t>
            </w:r>
          </w:p>
        </w:tc>
      </w:tr>
      <w:tr w14:paraId="4A0B9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14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1C15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玉林兴业支行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35D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广西壮族自治区兴业县石南镇建设路2号</w:t>
            </w:r>
          </w:p>
        </w:tc>
      </w:tr>
    </w:tbl>
    <w:p w14:paraId="3A283FE2">
      <w:pPr>
        <w:spacing w:line="360" w:lineRule="auto"/>
        <w:ind w:firstLine="640" w:firstLineChars="200"/>
        <w:textAlignment w:val="baseline"/>
        <w:rPr>
          <w:rFonts w:hint="default" w:ascii="彩虹粗仿宋" w:hAnsi="宋体" w:eastAsia="彩虹粗仿宋"/>
          <w:color w:val="auto"/>
          <w:sz w:val="32"/>
          <w:szCs w:val="32"/>
          <w:highlight w:val="none"/>
          <w:lang w:val="en-US" w:eastAsia="zh-CN"/>
        </w:rPr>
      </w:pPr>
    </w:p>
    <w:p w14:paraId="338B8B5C">
      <w:pPr>
        <w:spacing w:line="360" w:lineRule="auto"/>
        <w:ind w:firstLine="640" w:firstLineChars="200"/>
        <w:textAlignment w:val="baseline"/>
        <w:rPr>
          <w:rFonts w:hint="eastAsia" w:ascii="彩虹粗仿宋" w:hAnsi="宋体" w:eastAsia="彩虹粗仿宋"/>
          <w:color w:val="auto"/>
          <w:sz w:val="32"/>
          <w:szCs w:val="32"/>
          <w:highlight w:val="none"/>
        </w:rPr>
      </w:pPr>
    </w:p>
    <w:p w14:paraId="20DBF3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2FB460ED"/>
    <w:rsid w:val="52D51DA6"/>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